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47" w:rsidRPr="00FB40B3" w:rsidRDefault="00B855FE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FB40B3">
        <w:rPr>
          <w:rFonts w:ascii="Times New Roman" w:eastAsia="黑体" w:hAnsi="Times New Roman" w:hint="eastAsia"/>
          <w:sz w:val="32"/>
          <w:szCs w:val="32"/>
        </w:rPr>
        <w:t>附件</w:t>
      </w:r>
      <w:r w:rsidR="000B6616">
        <w:rPr>
          <w:rFonts w:ascii="Times New Roman" w:eastAsia="黑体" w:hAnsi="Times New Roman" w:hint="eastAsia"/>
          <w:sz w:val="32"/>
          <w:szCs w:val="32"/>
        </w:rPr>
        <w:t>3</w:t>
      </w:r>
      <w:r w:rsidRPr="00FB40B3">
        <w:rPr>
          <w:rFonts w:ascii="Times New Roman" w:eastAsia="黑体" w:hAnsi="Times New Roman" w:hint="eastAsia"/>
          <w:sz w:val="32"/>
          <w:szCs w:val="32"/>
        </w:rPr>
        <w:t>：</w:t>
      </w:r>
    </w:p>
    <w:p w:rsidR="00A44D47" w:rsidRPr="00FB40B3" w:rsidRDefault="00DE1C86">
      <w:pPr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南京信息工程大学</w:t>
      </w:r>
      <w:r w:rsidR="00B855FE" w:rsidRPr="00FB40B3">
        <w:rPr>
          <w:rFonts w:ascii="黑体" w:eastAsia="黑体" w:hAnsi="黑体" w:cs="方正小标宋简体" w:hint="eastAsia"/>
          <w:sz w:val="36"/>
          <w:szCs w:val="36"/>
        </w:rPr>
        <w:t>“三全育人”综合改革</w:t>
      </w:r>
      <w:r w:rsidR="00C40907" w:rsidRPr="00FB40B3">
        <w:rPr>
          <w:rFonts w:ascii="黑体" w:eastAsia="黑体" w:hAnsi="黑体" w:cs="方正小标宋简体" w:hint="eastAsia"/>
          <w:sz w:val="36"/>
          <w:szCs w:val="36"/>
        </w:rPr>
        <w:t>示范</w:t>
      </w:r>
      <w:r w:rsidR="00D3309C" w:rsidRPr="00FB40B3">
        <w:rPr>
          <w:rFonts w:ascii="黑体" w:eastAsia="黑体" w:hAnsi="黑体" w:cs="方正小标宋简体" w:hint="eastAsia"/>
          <w:sz w:val="36"/>
          <w:szCs w:val="36"/>
        </w:rPr>
        <w:t>研究生</w:t>
      </w:r>
      <w:r w:rsidR="001E4467" w:rsidRPr="00FB40B3">
        <w:rPr>
          <w:rFonts w:ascii="黑体" w:eastAsia="黑体" w:hAnsi="黑体" w:cs="方正小标宋简体" w:hint="eastAsia"/>
          <w:sz w:val="36"/>
          <w:szCs w:val="36"/>
        </w:rPr>
        <w:t>导师</w:t>
      </w:r>
      <w:r>
        <w:rPr>
          <w:rFonts w:ascii="黑体" w:eastAsia="黑体" w:hAnsi="黑体" w:cs="方正小标宋简体" w:hint="eastAsia"/>
          <w:sz w:val="36"/>
          <w:szCs w:val="36"/>
        </w:rPr>
        <w:t>及导师</w:t>
      </w:r>
      <w:r w:rsidR="00C40907" w:rsidRPr="00FB40B3">
        <w:rPr>
          <w:rFonts w:ascii="黑体" w:eastAsia="黑体" w:hAnsi="黑体" w:cs="方正小标宋简体" w:hint="eastAsia"/>
          <w:sz w:val="36"/>
          <w:szCs w:val="36"/>
        </w:rPr>
        <w:t>团队</w:t>
      </w:r>
      <w:r w:rsidR="00B855FE" w:rsidRPr="00FB40B3">
        <w:rPr>
          <w:rFonts w:ascii="黑体" w:eastAsia="黑体" w:hAnsi="黑体" w:cs="方正小标宋简体" w:hint="eastAsia"/>
          <w:sz w:val="36"/>
          <w:szCs w:val="36"/>
        </w:rPr>
        <w:t>建设标准（试行）</w:t>
      </w:r>
    </w:p>
    <w:p w:rsidR="00A44D47" w:rsidRPr="002E66D1" w:rsidRDefault="00A44D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8"/>
        <w:gridCol w:w="2880"/>
        <w:gridCol w:w="7492"/>
        <w:gridCol w:w="2364"/>
      </w:tblGrid>
      <w:tr w:rsidR="00DE1C86" w:rsidRPr="00FB40B3" w:rsidTr="00DE1C86">
        <w:trPr>
          <w:trHeight w:val="549"/>
        </w:trPr>
        <w:tc>
          <w:tcPr>
            <w:tcW w:w="507" w:type="pct"/>
            <w:shd w:val="clear" w:color="auto" w:fill="auto"/>
            <w:vAlign w:val="center"/>
          </w:tcPr>
          <w:p w:rsidR="00DE1C86" w:rsidRPr="00FB40B3" w:rsidRDefault="00DE1C86">
            <w:pPr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B40B3">
              <w:rPr>
                <w:rFonts w:ascii="黑体" w:eastAsia="黑体" w:hAnsi="黑体" w:cs="黑体" w:hint="eastAsia"/>
                <w:sz w:val="28"/>
                <w:szCs w:val="28"/>
              </w:rPr>
              <w:t>一级指标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DE1C86" w:rsidRPr="00FB40B3" w:rsidRDefault="00DE1C86">
            <w:pPr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B40B3">
              <w:rPr>
                <w:rFonts w:ascii="黑体" w:eastAsia="黑体" w:hAnsi="黑体" w:cs="黑体" w:hint="eastAsia"/>
                <w:sz w:val="28"/>
                <w:szCs w:val="28"/>
              </w:rPr>
              <w:t>二级指标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DE1C86" w:rsidRPr="00FB40B3" w:rsidRDefault="00DE1C86">
            <w:pPr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B40B3">
              <w:rPr>
                <w:rFonts w:ascii="黑体" w:eastAsia="黑体" w:hAnsi="黑体" w:cs="黑体" w:hint="eastAsia"/>
                <w:sz w:val="28"/>
                <w:szCs w:val="28"/>
              </w:rPr>
              <w:t>三级指标</w:t>
            </w:r>
          </w:p>
        </w:tc>
        <w:tc>
          <w:tcPr>
            <w:tcW w:w="834" w:type="pct"/>
          </w:tcPr>
          <w:p w:rsidR="00DE1C86" w:rsidRPr="00FB40B3" w:rsidRDefault="00DE1C86">
            <w:pPr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一级指标权重</w:t>
            </w:r>
          </w:p>
        </w:tc>
      </w:tr>
      <w:tr w:rsidR="00172C72" w:rsidRPr="00FB40B3" w:rsidTr="00172C72">
        <w:trPr>
          <w:trHeight w:val="2184"/>
        </w:trPr>
        <w:tc>
          <w:tcPr>
            <w:tcW w:w="50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>
            <w:pPr>
              <w:spacing w:line="460" w:lineRule="exact"/>
              <w:jc w:val="center"/>
              <w:rPr>
                <w:rFonts w:ascii="黑体" w:eastAsia="黑体" w:hAnsi="宋体" w:cs="宋体"/>
                <w:sz w:val="24"/>
              </w:rPr>
            </w:pPr>
            <w:r w:rsidRPr="00FB40B3">
              <w:rPr>
                <w:rFonts w:ascii="黑体" w:eastAsia="黑体" w:hAnsi="黑体" w:cs="黑体" w:hint="eastAsia"/>
                <w:sz w:val="24"/>
              </w:rPr>
              <w:t>1.组织领导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>
            <w:pPr>
              <w:spacing w:line="460" w:lineRule="exact"/>
              <w:jc w:val="left"/>
              <w:rPr>
                <w:rFonts w:ascii="黑体" w:eastAsia="仿宋_GB2312" w:hAnsi="黑体" w:cs="黑体"/>
                <w:sz w:val="28"/>
                <w:szCs w:val="28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1.1加强领导与统筹规划</w:t>
            </w:r>
          </w:p>
        </w:tc>
        <w:tc>
          <w:tcPr>
            <w:tcW w:w="2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>
            <w:pPr>
              <w:adjustRightInd w:val="0"/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宋体"/>
                <w:sz w:val="24"/>
                <w:szCs w:val="24"/>
              </w:rPr>
              <w:t>1.1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提高思想认识，聚焦政治站位，充分认识中国</w:t>
            </w:r>
            <w:r w:rsidR="002D4B9F">
              <w:rPr>
                <w:rFonts w:ascii="仿宋_GB2312" w:eastAsia="仿宋_GB2312" w:hAnsi="宋体" w:hint="eastAsia"/>
                <w:sz w:val="24"/>
                <w:szCs w:val="24"/>
              </w:rPr>
              <w:t>特色社会主义教育是知识体系教育同思想政治教育的结合与综合，把思想政治工作体系贯穿到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人才培养全过程，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年度工作任务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中予以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明确。</w:t>
            </w: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  <w:vAlign w:val="center"/>
          </w:tcPr>
          <w:p w:rsidR="00172C72" w:rsidRPr="00FB40B3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613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jc w:val="center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38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1.2健全“三全育人”统筹推进常态机制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2D4B9F" w:rsidRDefault="002D4B9F" w:rsidP="002D4B9F">
            <w:pPr>
              <w:tabs>
                <w:tab w:val="left" w:pos="775"/>
              </w:tabs>
              <w:spacing w:line="38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1.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推进“三全育人”建设思路明晰、举措具体、成效明显。</w:t>
            </w:r>
          </w:p>
        </w:tc>
        <w:tc>
          <w:tcPr>
            <w:tcW w:w="834" w:type="pct"/>
            <w:vMerge/>
          </w:tcPr>
          <w:p w:rsidR="00172C72" w:rsidRPr="00FB40B3" w:rsidRDefault="00172C72" w:rsidP="009E09DD">
            <w:pPr>
              <w:spacing w:line="38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DE1C86">
        <w:trPr>
          <w:trHeight w:val="661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38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2D4B9F" w:rsidRPr="00FB40B3" w:rsidRDefault="002D4B9F" w:rsidP="002D4B9F">
            <w:pPr>
              <w:tabs>
                <w:tab w:val="left" w:pos="775"/>
              </w:tabs>
              <w:spacing w:line="380" w:lineRule="exac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将“三全育人”纳入发展规划、人才培养方案，注重发挥团队的示范作用。</w:t>
            </w:r>
            <w:r>
              <w:rPr>
                <w:rFonts w:ascii="仿宋_GB2312" w:eastAsia="仿宋_GB2312" w:hAnsi="宋体" w:cs="宋体" w:hint="eastAsia"/>
                <w:sz w:val="24"/>
              </w:rPr>
              <w:t>（导师团队）</w:t>
            </w:r>
          </w:p>
        </w:tc>
        <w:tc>
          <w:tcPr>
            <w:tcW w:w="834" w:type="pct"/>
            <w:vMerge/>
          </w:tcPr>
          <w:p w:rsidR="00172C72" w:rsidRDefault="00172C72" w:rsidP="009E09DD">
            <w:pPr>
              <w:tabs>
                <w:tab w:val="left" w:pos="775"/>
              </w:tabs>
              <w:spacing w:line="38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7452E5">
        <w:trPr>
          <w:trHeight w:val="1260"/>
        </w:trPr>
        <w:tc>
          <w:tcPr>
            <w:tcW w:w="5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 w:rsidP="009E09DD">
            <w:pPr>
              <w:spacing w:line="38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2D4B9F">
              <w:rPr>
                <w:rFonts w:ascii="仿宋_GB2312" w:eastAsia="仿宋_GB2312" w:hAnsi="宋体" w:cs="宋体"/>
                <w:sz w:val="24"/>
              </w:rPr>
              <w:t>1.3</w:t>
            </w:r>
            <w:r w:rsidRPr="002D4B9F">
              <w:rPr>
                <w:rFonts w:ascii="仿宋_GB2312" w:eastAsia="仿宋_GB2312" w:hAnsi="宋体" w:cs="宋体" w:hint="eastAsia"/>
                <w:sz w:val="24"/>
              </w:rPr>
              <w:t>团队构成合理（导师团队）</w:t>
            </w:r>
          </w:p>
        </w:tc>
        <w:tc>
          <w:tcPr>
            <w:tcW w:w="2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B351D3" w:rsidRDefault="00172C72" w:rsidP="009E09DD">
            <w:pPr>
              <w:spacing w:line="42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1.3.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团队</w:t>
            </w:r>
            <w:r w:rsidRPr="00B351D3">
              <w:rPr>
                <w:rFonts w:ascii="仿宋_GB2312" w:eastAsia="仿宋_GB2312" w:hAnsi="宋体" w:cs="宋体" w:hint="eastAsia"/>
                <w:sz w:val="24"/>
              </w:rPr>
              <w:t>目标明确、发展规划清晰，注重学习共同体建设，老中青传帮带机制健全，为团队成员发展搭建通畅平台，整体提升团队育人育才的能力。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:rsidR="00172C72" w:rsidRPr="00B351D3" w:rsidRDefault="00172C72" w:rsidP="009E09DD">
            <w:pPr>
              <w:widowControl/>
              <w:spacing w:line="42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487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FB40B3">
              <w:rPr>
                <w:rFonts w:ascii="黑体" w:eastAsia="黑体" w:hAnsi="黑体" w:cs="黑体" w:hint="eastAsia"/>
                <w:sz w:val="24"/>
              </w:rPr>
              <w:t>2.思政指导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2D4B9F" w:rsidRDefault="00172C72" w:rsidP="009E09DD">
            <w:pPr>
              <w:spacing w:line="3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2.1建立思想引领长效机制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2D4B9F" w:rsidRDefault="00172C72" w:rsidP="002D4B9F">
            <w:pPr>
              <w:spacing w:line="3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2D4B9F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2.</w:t>
            </w: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  <w:r w:rsidRPr="002D4B9F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.1坚持正确的政治方向，拥护中国共产党的领导，不断提高思想政治觉悟；</w:t>
            </w: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强化三观教育，引导研究生正确认识时代责任和历史使命。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tabs>
                <w:tab w:val="left" w:pos="775"/>
              </w:tabs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487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9E09DD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2D4B9F" w:rsidRDefault="00172C72" w:rsidP="002D4B9F">
            <w:pPr>
              <w:spacing w:line="3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2.1.2加强与研究生的沟通，每月进行至少一次的谈心谈话，深入了解和准确掌握研究生思想动态。</w:t>
            </w:r>
          </w:p>
        </w:tc>
        <w:tc>
          <w:tcPr>
            <w:tcW w:w="834" w:type="pct"/>
            <w:vMerge/>
          </w:tcPr>
          <w:p w:rsidR="00172C72" w:rsidRDefault="00172C72" w:rsidP="009E09DD">
            <w:pPr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72C72" w:rsidRPr="00FB40B3" w:rsidTr="009D7DFF">
        <w:trPr>
          <w:trHeight w:val="984"/>
        </w:trPr>
        <w:tc>
          <w:tcPr>
            <w:tcW w:w="5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FB40B3" w:rsidRDefault="00172C72" w:rsidP="009E09DD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2D4B9F" w:rsidRDefault="00172C72" w:rsidP="009E09DD">
            <w:pPr>
              <w:spacing w:line="3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2.2探索“科研思政”路径</w:t>
            </w:r>
          </w:p>
        </w:tc>
        <w:tc>
          <w:tcPr>
            <w:tcW w:w="2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2D4B9F" w:rsidRDefault="00172C72" w:rsidP="009E09DD">
            <w:pPr>
              <w:widowControl/>
              <w:spacing w:line="420" w:lineRule="atLeas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2D4B9F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2.2.1将思政工作融入并贯穿于团队研究生的全员培养目标、培养质量的全过程管理、科研人文融合的全方位育人。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:rsidR="00172C72" w:rsidRDefault="00172C72" w:rsidP="009E09DD">
            <w:pPr>
              <w:widowControl/>
              <w:spacing w:line="42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487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3.</w:t>
            </w:r>
            <w:r w:rsidRPr="00FB40B3">
              <w:rPr>
                <w:rFonts w:ascii="黑体" w:eastAsia="黑体" w:hAnsi="黑体" w:cs="黑体" w:hint="eastAsia"/>
                <w:sz w:val="24"/>
              </w:rPr>
              <w:t>科学道德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3.</w:t>
            </w:r>
            <w:r w:rsidRPr="00FB40B3">
              <w:rPr>
                <w:rFonts w:ascii="仿宋_GB2312" w:eastAsia="仿宋_GB2312" w:hAnsi="宋体" w:cs="宋体"/>
                <w:sz w:val="24"/>
              </w:rPr>
              <w:t>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构建学术诚信体系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3.1.1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注重开展科学道德教育，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构建集教育、预防、监督、惩治于一体的学术诚信体系，遏制各种学术不端和科研失信行为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11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911777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Pr="00FB40B3">
              <w:rPr>
                <w:rFonts w:ascii="仿宋_GB2312" w:eastAsia="仿宋_GB2312" w:hAnsi="宋体" w:cs="宋体"/>
                <w:sz w:val="24"/>
              </w:rPr>
              <w:t>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加强学术道德与学风建设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3.2.1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培养研究生严谨认真的治学态度和求真务实的科学精神，带头自觉遵守科研诚信与学术道德，杜绝学术不端行为。开展学术道德教育、注重学风建设，及时反馈学生对教学的意见。</w:t>
            </w:r>
          </w:p>
        </w:tc>
        <w:tc>
          <w:tcPr>
            <w:tcW w:w="834" w:type="pct"/>
            <w:vMerge/>
          </w:tcPr>
          <w:p w:rsidR="00172C72" w:rsidRDefault="00172C72" w:rsidP="00C05C45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DE1C86">
        <w:trPr>
          <w:trHeight w:val="762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3.2.2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在研究生培养的各个环节，强化学术规范训练，做到内容层面的规范，价值方面的规范，技术操作层面的规范。</w:t>
            </w:r>
          </w:p>
        </w:tc>
        <w:tc>
          <w:tcPr>
            <w:tcW w:w="834" w:type="pct"/>
            <w:vMerge/>
          </w:tcPr>
          <w:p w:rsidR="00172C72" w:rsidRDefault="00172C72" w:rsidP="00C05C45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DE1C86">
        <w:trPr>
          <w:trHeight w:val="56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3.2.3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培养研究生尊重他人劳动成果，提高知识产权保护意识。</w:t>
            </w:r>
          </w:p>
        </w:tc>
        <w:tc>
          <w:tcPr>
            <w:tcW w:w="834" w:type="pct"/>
            <w:vMerge/>
          </w:tcPr>
          <w:p w:rsidR="00172C72" w:rsidRDefault="00172C72" w:rsidP="00C05C45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515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4.</w:t>
            </w:r>
            <w:r w:rsidRPr="00FB40B3">
              <w:rPr>
                <w:rFonts w:ascii="黑体" w:eastAsia="黑体" w:hAnsi="黑体" w:cs="黑体" w:hint="eastAsia"/>
                <w:sz w:val="24"/>
              </w:rPr>
              <w:t>科研育人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4.1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建立科研育人导向机制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49592C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4.1.1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坚持正确的政治方向、价值取向、学术导向</w:t>
            </w:r>
            <w:r w:rsidR="0049592C">
              <w:rPr>
                <w:rFonts w:ascii="仿宋_GB2312" w:eastAsia="仿宋_GB2312" w:hAnsi="宋体" w:cs="宋体" w:hint="eastAsia"/>
                <w:sz w:val="24"/>
              </w:rPr>
              <w:t>开展学术研究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737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4.1.2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明确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科研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育人功能，改进科研环节和程序，把思想价值引领贯穿选题设计、科研立项、项目研究、成果运用全过程，把思想政治表现作为底线要求。</w:t>
            </w:r>
          </w:p>
        </w:tc>
        <w:tc>
          <w:tcPr>
            <w:tcW w:w="834" w:type="pct"/>
            <w:vMerge/>
          </w:tcPr>
          <w:p w:rsidR="00172C72" w:rsidRDefault="00172C72" w:rsidP="00C05C4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DE1C86">
        <w:trPr>
          <w:trHeight w:val="737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C05C45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05C4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4.1.3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建立教研一体、学研相济的科教协同育人机制，制定产学研合作协同育人计划。</w:t>
            </w:r>
          </w:p>
        </w:tc>
        <w:tc>
          <w:tcPr>
            <w:tcW w:w="834" w:type="pct"/>
            <w:vMerge/>
          </w:tcPr>
          <w:p w:rsidR="00172C72" w:rsidRDefault="00172C72" w:rsidP="00C05C4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DE1C86">
        <w:trPr>
          <w:trHeight w:val="8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4.2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建设科研平台与团队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4.2.1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加强团队科技创新平台建设，搭建师生科研交流互动舞台，培养师生科学精神和创新意识。</w:t>
            </w:r>
          </w:p>
        </w:tc>
        <w:tc>
          <w:tcPr>
            <w:tcW w:w="834" w:type="pct"/>
            <w:vMerge/>
          </w:tcPr>
          <w:p w:rsidR="00172C72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8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4.3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加强学术指导与考核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4.3.1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指导学生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积极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参加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国内外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学术会议及讲座，拓宽研究生的学科、专业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的接触面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，扩大学术视野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172C72">
        <w:trPr>
          <w:trHeight w:val="8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4.3.2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针对学缘结构，积极参与制定执行研究生培养计划，统筹安排实践与科研活动，定期开展组会等学术指导。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8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4.3.3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制定科研训练与考核制度，</w:t>
            </w:r>
            <w:r>
              <w:rPr>
                <w:rFonts w:ascii="仿宋_GB2312" w:eastAsia="仿宋_GB2312" w:hAnsi="宋体" w:cs="宋体" w:hint="eastAsia"/>
                <w:sz w:val="24"/>
              </w:rPr>
              <w:t>导师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定期对团队研究生进行文献阅读、科研实验、数据分析、专利申请、论文发表等方面的考察，并进行一定的考核和奖惩。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68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5.</w:t>
            </w:r>
            <w:r w:rsidRPr="00FB40B3">
              <w:rPr>
                <w:rFonts w:ascii="黑体" w:eastAsia="黑体" w:hAnsi="黑体" w:cs="黑体" w:hint="eastAsia"/>
                <w:sz w:val="24"/>
              </w:rPr>
              <w:t>创新实践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5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.1建立团队实践育人长效机制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B0690F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5.1.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整合实践育人资源，拓展实践平台，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建立相对稳定、功能多样的实践育人基地。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172C72">
        <w:trPr>
          <w:trHeight w:val="68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5.1.2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深入推进实践教学改革</w:t>
            </w:r>
            <w:r w:rsidR="00B0690F">
              <w:rPr>
                <w:rFonts w:ascii="仿宋_GB2312" w:eastAsia="仿宋_GB2312" w:hAnsi="宋体" w:hint="eastAsia"/>
                <w:sz w:val="24"/>
                <w:szCs w:val="24"/>
              </w:rPr>
              <w:t>，制定实践教学方案，适度增加实践教学比重。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68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5.1.3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启迪学生的创新思维，引导学生出高水平的科研成果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鼓励和引导学生积极参加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科研实践</w:t>
            </w:r>
            <w:r w:rsidRPr="00FB40B3">
              <w:rPr>
                <w:rFonts w:ascii="仿宋_GB2312" w:eastAsia="仿宋_GB2312" w:hAnsi="宋体"/>
                <w:sz w:val="24"/>
                <w:szCs w:val="24"/>
              </w:rPr>
              <w:t>，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对学硕、专硕学生有特色分明的科研实践指导实施办法。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569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5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.2推进</w:t>
            </w:r>
            <w:r w:rsidRPr="00FB40B3">
              <w:rPr>
                <w:rFonts w:ascii="仿宋_GB2312" w:eastAsia="仿宋_GB2312" w:hint="eastAsia"/>
                <w:sz w:val="24"/>
                <w:szCs w:val="24"/>
              </w:rPr>
              <w:t>创新实践教育活动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5.2.1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鼓励研究生参与创新实践赛事活动，并给予时间、经费等方面的条件支持。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850"/>
        </w:trPr>
        <w:tc>
          <w:tcPr>
            <w:tcW w:w="507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49592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5.2.2</w:t>
            </w:r>
            <w:r w:rsidRPr="00FB40B3">
              <w:rPr>
                <w:rFonts w:ascii="仿宋_GB2312" w:eastAsia="仿宋_GB2312" w:hAnsi="宋体" w:hint="eastAsia"/>
                <w:sz w:val="24"/>
                <w:szCs w:val="24"/>
              </w:rPr>
              <w:t>鼓励研究生在学期间参加暑期学校活动，或社会实践活动至少1次。</w:t>
            </w:r>
          </w:p>
        </w:tc>
        <w:tc>
          <w:tcPr>
            <w:tcW w:w="834" w:type="pct"/>
            <w:vMerge/>
          </w:tcPr>
          <w:p w:rsidR="00172C72" w:rsidRDefault="00172C72" w:rsidP="00DA587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2C72" w:rsidRPr="00FB40B3" w:rsidTr="00DE1C86">
        <w:trPr>
          <w:trHeight w:val="69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6</w:t>
            </w:r>
            <w:r w:rsidRPr="00FB40B3">
              <w:rPr>
                <w:rFonts w:ascii="黑体" w:eastAsia="黑体" w:hAnsi="黑体" w:cs="黑体" w:hint="eastAsia"/>
                <w:sz w:val="24"/>
              </w:rPr>
              <w:t>.文化育人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6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.</w:t>
            </w:r>
            <w:r>
              <w:rPr>
                <w:rFonts w:ascii="仿宋_GB2312" w:eastAsia="仿宋_GB2312" w:hAnsi="宋体" w:cs="宋体"/>
                <w:sz w:val="24"/>
              </w:rPr>
              <w:t>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建立社会主义先进文化教育长效机制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07391A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6.1.1</w:t>
            </w:r>
            <w:r w:rsidR="0007391A">
              <w:rPr>
                <w:rFonts w:ascii="仿宋_GB2312" w:eastAsia="仿宋_GB2312" w:hAnsi="宋体" w:cs="宋体"/>
                <w:sz w:val="24"/>
              </w:rPr>
              <w:t>把社会主义核心价值观体现到育人全过程</w:t>
            </w:r>
            <w:r w:rsidR="0007391A">
              <w:rPr>
                <w:rFonts w:ascii="仿宋_GB2312" w:eastAsia="仿宋_GB2312" w:hAnsi="宋体" w:cs="宋体" w:hint="eastAsia"/>
                <w:sz w:val="24"/>
              </w:rPr>
              <w:t>，</w:t>
            </w:r>
            <w:r w:rsidR="00CB146A">
              <w:rPr>
                <w:rFonts w:ascii="仿宋_GB2312" w:eastAsia="仿宋_GB2312" w:hAnsi="宋体" w:cs="宋体" w:hint="eastAsia"/>
                <w:sz w:val="24"/>
              </w:rPr>
              <w:t>开展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社会主义核心价值观主题教育</w:t>
            </w:r>
            <w:r w:rsidR="0007391A">
              <w:rPr>
                <w:rFonts w:ascii="仿宋_GB2312" w:eastAsia="仿宋_GB2312" w:hAnsi="宋体" w:cs="宋体" w:hint="eastAsia"/>
                <w:sz w:val="24"/>
              </w:rPr>
              <w:t>活动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  <w:tc>
          <w:tcPr>
            <w:tcW w:w="834" w:type="pct"/>
            <w:vMerge/>
          </w:tcPr>
          <w:p w:rsidR="00172C72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DE1C86">
        <w:trPr>
          <w:trHeight w:val="69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553FA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6.1.2</w:t>
            </w:r>
            <w:r w:rsidR="00553FA6">
              <w:rPr>
                <w:rFonts w:ascii="仿宋_GB2312" w:eastAsia="仿宋_GB2312" w:hAnsi="宋体" w:cs="宋体" w:hint="eastAsia"/>
                <w:sz w:val="24"/>
              </w:rPr>
              <w:t>加强学生网络素养教育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，</w:t>
            </w:r>
            <w:r w:rsidR="00553FA6">
              <w:rPr>
                <w:rFonts w:ascii="仿宋_GB2312" w:eastAsia="仿宋_GB2312" w:hAnsi="宋体" w:cs="宋体" w:hint="eastAsia"/>
                <w:sz w:val="24"/>
              </w:rPr>
              <w:t>引导学生增强网络安全意识，遵守网络行为规范，养成文明网络生活方式。</w:t>
            </w:r>
          </w:p>
        </w:tc>
        <w:tc>
          <w:tcPr>
            <w:tcW w:w="834" w:type="pct"/>
            <w:vMerge/>
          </w:tcPr>
          <w:p w:rsidR="00172C72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56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/>
                <w:sz w:val="24"/>
              </w:rPr>
              <w:t>6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.</w:t>
            </w:r>
            <w:r>
              <w:rPr>
                <w:rFonts w:ascii="仿宋_GB2312" w:eastAsia="仿宋_GB2312" w:hAnsi="宋体" w:cs="宋体"/>
                <w:sz w:val="24"/>
              </w:rPr>
              <w:t>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建立校园文化育人功能，发挥长效机制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7F4CA0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6.2.1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充分挖掘</w:t>
            </w:r>
            <w:r w:rsidR="007F4CA0">
              <w:rPr>
                <w:rFonts w:ascii="仿宋_GB2312" w:eastAsia="仿宋_GB2312" w:hAnsi="宋体" w:cs="宋体" w:hint="eastAsia"/>
                <w:sz w:val="24"/>
              </w:rPr>
              <w:t>校史校情的教育作用，推进校园文化建设。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172C72">
        <w:trPr>
          <w:trHeight w:val="56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widowControl/>
              <w:spacing w:line="42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6.2.2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团队文化建设成效显著，在稳定的团队合作中，形成鲜明的团队核心精神。具有良好的学术科研氛围，温馨的工作环境，团队凝聚力、向心力强。积极安排相应的学术活动激发团队科研热情与创新精神。</w:t>
            </w:r>
            <w:r>
              <w:rPr>
                <w:rFonts w:ascii="仿宋_GB2312" w:eastAsia="仿宋_GB2312" w:hAnsi="宋体" w:cs="宋体" w:hint="eastAsia"/>
                <w:sz w:val="24"/>
              </w:rPr>
              <w:t>（导师团队）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625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FB40B3">
              <w:rPr>
                <w:rFonts w:ascii="黑体" w:eastAsia="黑体" w:hAnsi="黑体" w:cs="黑体" w:hint="eastAsia"/>
                <w:sz w:val="24"/>
              </w:rPr>
              <w:t>7.心理育人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7.1建立心理健康教育长效机制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7.1.1</w:t>
            </w:r>
            <w:r w:rsidR="00FC3152">
              <w:rPr>
                <w:rFonts w:ascii="仿宋_GB2312" w:eastAsia="仿宋_GB2312" w:hAnsi="宋体" w:cs="宋体"/>
                <w:sz w:val="24"/>
              </w:rPr>
              <w:t>加强心理健康知识教育</w:t>
            </w:r>
            <w:r w:rsidR="00FC3152">
              <w:rPr>
                <w:rFonts w:ascii="仿宋_GB2312" w:eastAsia="仿宋_GB2312" w:hAnsi="宋体" w:cs="宋体" w:hint="eastAsia"/>
                <w:sz w:val="24"/>
              </w:rPr>
              <w:t>，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把心理健康教育纳入人才培养方案，强化心理健康机制建设，发挥心理育人作用。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56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7.1.2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落实</w:t>
            </w:r>
            <w:r w:rsidR="00FC3152">
              <w:rPr>
                <w:rFonts w:ascii="仿宋_GB2312" w:eastAsia="仿宋_GB2312" w:hAnsi="宋体" w:cs="宋体" w:hint="eastAsia"/>
                <w:sz w:val="24"/>
              </w:rPr>
              <w:t>学校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“校-院-班-课题组”四级心理健康教育体系和课题组心理信息员制度。</w:t>
            </w:r>
          </w:p>
        </w:tc>
        <w:tc>
          <w:tcPr>
            <w:tcW w:w="834" w:type="pct"/>
            <w:vMerge/>
          </w:tcPr>
          <w:p w:rsidR="00172C72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56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7</w:t>
            </w:r>
            <w:r w:rsidRPr="00FB40B3">
              <w:rPr>
                <w:rFonts w:ascii="仿宋_GB2312" w:eastAsia="仿宋_GB2312" w:hAnsi="宋体" w:cs="宋体"/>
                <w:sz w:val="24"/>
              </w:rPr>
              <w:t>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落实心理辅导成效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7.2.1</w:t>
            </w:r>
            <w:r>
              <w:rPr>
                <w:rFonts w:ascii="仿宋_GB2312" w:eastAsia="仿宋_GB2312" w:hAnsi="宋体" w:cs="宋体" w:hint="eastAsia"/>
                <w:sz w:val="24"/>
              </w:rPr>
              <w:t>导师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及心理信息员应及时与学生定期进行会面交流，及时了解学生心理动态和心理健康状况，积极做好心理疏导及心理干预。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172C72">
        <w:trPr>
          <w:trHeight w:val="745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7.2.2</w:t>
            </w:r>
            <w:r w:rsidRPr="00FB40B3">
              <w:rPr>
                <w:rFonts w:ascii="仿宋_GB2312" w:eastAsia="仿宋_GB2312" w:hAnsi="宋体" w:cs="宋体" w:hint="eastAsia"/>
                <w:sz w:val="24"/>
              </w:rPr>
              <w:t>帮助研究生培养积极向上的生活态度，形成健康和谐的人际关系，引导学生养成良好的科研学习、生活作息习惯。</w:t>
            </w:r>
          </w:p>
        </w:tc>
        <w:tc>
          <w:tcPr>
            <w:tcW w:w="834" w:type="pct"/>
            <w:vMerge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567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FB40B3">
              <w:rPr>
                <w:rFonts w:ascii="黑体" w:eastAsia="黑体" w:hAnsi="黑体" w:cs="黑体" w:hint="eastAsia"/>
                <w:sz w:val="24"/>
              </w:rPr>
              <w:t>8.管理育人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8.1明确岗位育人职责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FC3152">
            <w:pPr>
              <w:spacing w:line="4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8.1.1</w:t>
            </w:r>
            <w:r w:rsidR="00FC3152" w:rsidRPr="00FC3152">
              <w:rPr>
                <w:rFonts w:ascii="仿宋_GB2312" w:eastAsia="仿宋_GB2312" w:hAnsi="宋体" w:cs="宋体"/>
                <w:sz w:val="24"/>
              </w:rPr>
              <w:t>严格学业管理。针对研究生教育特点，聚焦导师指导环节，正确履行指导职责，遵循研究生教育规律和人才成长规律，合理指导研究生学习、科研与实习实践活动</w:t>
            </w:r>
            <w:r w:rsidR="00FC3152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DE1C86">
        <w:trPr>
          <w:trHeight w:val="1130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FB40B3">
              <w:rPr>
                <w:rFonts w:ascii="仿宋_GB2312" w:eastAsia="仿宋_GB2312" w:hAnsi="宋体" w:cs="宋体" w:hint="eastAsia"/>
                <w:sz w:val="24"/>
              </w:rPr>
              <w:t>8.2加强团队成员管理</w:t>
            </w:r>
            <w:r>
              <w:rPr>
                <w:rFonts w:ascii="仿宋_GB2312" w:eastAsia="仿宋_GB2312" w:hAnsi="宋体" w:cs="宋体" w:hint="eastAsia"/>
                <w:sz w:val="24"/>
              </w:rPr>
              <w:t>（导师团队）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FB40B3" w:rsidRDefault="00172C72" w:rsidP="00CD455D">
            <w:pPr>
              <w:widowControl/>
              <w:spacing w:line="42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8.2.1</w:t>
            </w:r>
            <w:r w:rsidRPr="00FB40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具有明确的学术方向和规范的管理办法。注重研究生的全方位管理，具有分层分类的管理模式，形成团队内部传帮带机制。科学、合理地制定研究生培养计划。</w:t>
            </w:r>
          </w:p>
        </w:tc>
        <w:tc>
          <w:tcPr>
            <w:tcW w:w="834" w:type="pct"/>
            <w:vMerge/>
          </w:tcPr>
          <w:p w:rsidR="00172C72" w:rsidRDefault="00172C72" w:rsidP="00CD455D">
            <w:pPr>
              <w:widowControl/>
              <w:spacing w:line="42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172C72" w:rsidRPr="00FB40B3" w:rsidTr="00172C72">
        <w:trPr>
          <w:trHeight w:val="708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9</w:t>
            </w:r>
            <w:r w:rsidRPr="00FB40B3">
              <w:rPr>
                <w:rFonts w:ascii="黑体" w:eastAsia="黑体" w:hAnsi="黑体" w:cs="黑体" w:hint="eastAsia"/>
                <w:sz w:val="24"/>
              </w:rPr>
              <w:t>.资助育人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9.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1构建资助育人长效机制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B351D3" w:rsidRDefault="00172C72" w:rsidP="003A5C9D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9.1.1</w:t>
            </w:r>
            <w:r w:rsidR="003A5C9D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科研经费及研究生助研费</w:t>
            </w:r>
            <w:r w:rsidR="003A5C9D" w:rsidRPr="003A5C9D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严格依照相关规定及标准执行</w:t>
            </w:r>
          </w:p>
        </w:tc>
        <w:tc>
          <w:tcPr>
            <w:tcW w:w="834" w:type="pct"/>
            <w:vMerge w:val="restart"/>
            <w:vAlign w:val="center"/>
          </w:tcPr>
          <w:p w:rsidR="00172C72" w:rsidRPr="00B351D3" w:rsidRDefault="00172C72" w:rsidP="00172C72">
            <w:pPr>
              <w:spacing w:line="460" w:lineRule="exact"/>
              <w:jc w:val="center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9A46BC">
        <w:trPr>
          <w:trHeight w:val="1261"/>
        </w:trPr>
        <w:tc>
          <w:tcPr>
            <w:tcW w:w="5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72" w:rsidRPr="00B351D3" w:rsidRDefault="00172C72" w:rsidP="003A5C9D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9.1.2</w:t>
            </w:r>
            <w:r w:rsidR="003A5C9D" w:rsidRPr="003A5C9D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结合研究生参与科研的情况给</w:t>
            </w:r>
            <w:r w:rsidR="003A5C9D"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予全日制非定向研究生一定的助研津贴。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将扶贫、扶智和扶志相结合，切实解决学生困难。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:rsidR="00172C72" w:rsidRPr="00B351D3" w:rsidRDefault="00172C72" w:rsidP="00DA5876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737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172C72" w:rsidRPr="00FB40B3" w:rsidRDefault="00172C72" w:rsidP="00DA5876">
            <w:pPr>
              <w:spacing w:line="460" w:lineRule="exact"/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FB40B3">
              <w:rPr>
                <w:rFonts w:ascii="黑体" w:eastAsia="黑体" w:hAnsi="黑体" w:cs="黑体"/>
                <w:sz w:val="24"/>
              </w:rPr>
              <w:t>10.</w:t>
            </w:r>
            <w:r w:rsidRPr="00FB40B3">
              <w:rPr>
                <w:rFonts w:ascii="黑体" w:eastAsia="黑体" w:hAnsi="黑体" w:cs="黑体" w:hint="eastAsia"/>
                <w:sz w:val="24"/>
              </w:rPr>
              <w:t>育人成效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.1立德树人成效显著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B351D3" w:rsidRDefault="00172C72" w:rsidP="00DA5876">
            <w:pPr>
              <w:widowControl/>
              <w:spacing w:line="420" w:lineRule="atLeas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10.1.1</w:t>
            </w:r>
            <w:r w:rsidRPr="00FB40B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在校内外有影响力和示范性</w:t>
            </w:r>
            <w:r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，事迹在省级以上媒体报道</w:t>
            </w:r>
            <w:r w:rsidRPr="00FB40B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。所指导的研究生思想品质好、学术水平高、学位论文质量优秀，思维活跃、创新能力强、取得突出成果。已毕业研究生就业质量高，毕业生的社会贡献及认可度高。</w:t>
            </w:r>
          </w:p>
        </w:tc>
        <w:tc>
          <w:tcPr>
            <w:tcW w:w="834" w:type="pct"/>
            <w:vMerge w:val="restart"/>
            <w:vAlign w:val="center"/>
          </w:tcPr>
          <w:p w:rsidR="00172C72" w:rsidRDefault="00172C72" w:rsidP="00172C72">
            <w:pPr>
              <w:widowControl/>
              <w:spacing w:line="420" w:lineRule="atLeast"/>
              <w:jc w:val="center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10%</w:t>
            </w:r>
          </w:p>
        </w:tc>
      </w:tr>
      <w:tr w:rsidR="00172C72" w:rsidRPr="00FB40B3" w:rsidTr="00172C72">
        <w:trPr>
          <w:trHeight w:val="737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.2科研成果突出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10.2.1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在培养研究生方面取得突出的科研及社会实践成果。研究生具有较高的学术水平与科研创新能力，参与省部级及以上重点科研课题、公开发表有重要影响的学术成果或荣获省部级以上科研成果奖励。</w:t>
            </w:r>
          </w:p>
        </w:tc>
        <w:tc>
          <w:tcPr>
            <w:tcW w:w="834" w:type="pct"/>
            <w:vMerge/>
            <w:vAlign w:val="center"/>
          </w:tcPr>
          <w:p w:rsidR="00172C72" w:rsidRPr="00B351D3" w:rsidRDefault="00172C72" w:rsidP="00172C72">
            <w:pPr>
              <w:spacing w:line="460" w:lineRule="exact"/>
              <w:jc w:val="center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</w:p>
        </w:tc>
      </w:tr>
      <w:tr w:rsidR="00172C72" w:rsidRPr="00FB40B3" w:rsidTr="00172C72">
        <w:trPr>
          <w:trHeight w:val="501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.</w:t>
            </w: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3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研究生评价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10.3.1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毕业研究生对导师</w:t>
            </w:r>
            <w:r w:rsidR="0049223D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或导师团队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评价优良。</w:t>
            </w:r>
          </w:p>
        </w:tc>
        <w:tc>
          <w:tcPr>
            <w:tcW w:w="834" w:type="pct"/>
            <w:vMerge/>
            <w:vAlign w:val="center"/>
          </w:tcPr>
          <w:p w:rsidR="00172C72" w:rsidRPr="00B351D3" w:rsidRDefault="00172C72" w:rsidP="00172C72">
            <w:pPr>
              <w:spacing w:line="460" w:lineRule="exact"/>
              <w:jc w:val="center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</w:p>
        </w:tc>
      </w:tr>
      <w:tr w:rsidR="00172C72" w:rsidRPr="00FB40B3" w:rsidTr="00DE1C86">
        <w:trPr>
          <w:trHeight w:val="823"/>
        </w:trPr>
        <w:tc>
          <w:tcPr>
            <w:tcW w:w="507" w:type="pct"/>
            <w:vMerge/>
            <w:shd w:val="clear" w:color="auto" w:fill="auto"/>
          </w:tcPr>
          <w:p w:rsidR="00172C72" w:rsidRPr="00FB40B3" w:rsidRDefault="00172C72" w:rsidP="00DA5876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jc w:val="lef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.</w:t>
            </w: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4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严守导师职业道德规范</w:t>
            </w:r>
          </w:p>
        </w:tc>
        <w:tc>
          <w:tcPr>
            <w:tcW w:w="2643" w:type="pct"/>
            <w:shd w:val="clear" w:color="auto" w:fill="auto"/>
            <w:vAlign w:val="center"/>
          </w:tcPr>
          <w:p w:rsidR="00172C72" w:rsidRPr="00B351D3" w:rsidRDefault="00172C72" w:rsidP="00DA5876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  <w:r w:rsidRPr="00B351D3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10.4.1</w:t>
            </w:r>
            <w:r w:rsidR="009F747B">
              <w:rPr>
                <w:rFonts w:ascii="仿宋_GB2312" w:eastAsia="仿宋_GB2312" w:hAnsi="&amp;quot" w:cs="宋体"/>
                <w:kern w:val="0"/>
                <w:sz w:val="24"/>
                <w:szCs w:val="24"/>
              </w:rPr>
              <w:t>导师或导师</w:t>
            </w:r>
            <w:r w:rsidRPr="00B351D3"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  <w:t>团队成员没有违反《江苏省研究生导师职业道德规范“十不准”（试行）》的行为。</w:t>
            </w:r>
          </w:p>
        </w:tc>
        <w:tc>
          <w:tcPr>
            <w:tcW w:w="834" w:type="pct"/>
            <w:vMerge/>
          </w:tcPr>
          <w:p w:rsidR="00172C72" w:rsidRPr="00B351D3" w:rsidRDefault="00172C72" w:rsidP="00DA5876">
            <w:pPr>
              <w:spacing w:line="460" w:lineRule="exact"/>
              <w:rPr>
                <w:rFonts w:ascii="仿宋_GB2312" w:eastAsia="仿宋_GB2312" w:hAnsi="&amp;quot" w:cs="宋体" w:hint="eastAsia"/>
                <w:kern w:val="0"/>
                <w:sz w:val="24"/>
                <w:szCs w:val="24"/>
              </w:rPr>
            </w:pPr>
          </w:p>
        </w:tc>
      </w:tr>
    </w:tbl>
    <w:p w:rsidR="00A44D47" w:rsidRPr="00B351D3" w:rsidRDefault="00A44D47"/>
    <w:sectPr w:rsidR="00A44D47" w:rsidRPr="00B351D3" w:rsidSect="00631350">
      <w:footerReference w:type="default" r:id="rId8"/>
      <w:pgSz w:w="16838" w:h="11906" w:orient="landscape"/>
      <w:pgMar w:top="1701" w:right="1440" w:bottom="1701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93B" w:rsidRDefault="0020693B">
      <w:r>
        <w:separator/>
      </w:r>
    </w:p>
  </w:endnote>
  <w:endnote w:type="continuationSeparator" w:id="1">
    <w:p w:rsidR="0020693B" w:rsidRDefault="0020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214495"/>
    </w:sdtPr>
    <w:sdtEndPr>
      <w:rPr>
        <w:rFonts w:ascii="Times New Roman" w:hAnsi="Times New Roman" w:cs="Times New Roman"/>
        <w:sz w:val="24"/>
        <w:szCs w:val="24"/>
      </w:rPr>
    </w:sdtEndPr>
    <w:sdtContent>
      <w:p w:rsidR="00A44D47" w:rsidRDefault="00C8314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55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69DE" w:rsidRPr="00AE69D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4D47" w:rsidRDefault="00A44D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93B" w:rsidRDefault="0020693B">
      <w:r>
        <w:separator/>
      </w:r>
    </w:p>
  </w:footnote>
  <w:footnote w:type="continuationSeparator" w:id="1">
    <w:p w:rsidR="0020693B" w:rsidRDefault="00206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241"/>
    <w:rsid w:val="0002190A"/>
    <w:rsid w:val="00021CD2"/>
    <w:rsid w:val="000226D5"/>
    <w:rsid w:val="0004290E"/>
    <w:rsid w:val="00050222"/>
    <w:rsid w:val="0005039C"/>
    <w:rsid w:val="00057117"/>
    <w:rsid w:val="00066491"/>
    <w:rsid w:val="0006673D"/>
    <w:rsid w:val="0007391A"/>
    <w:rsid w:val="00085CC0"/>
    <w:rsid w:val="00091193"/>
    <w:rsid w:val="00093DD0"/>
    <w:rsid w:val="00093E94"/>
    <w:rsid w:val="00093F52"/>
    <w:rsid w:val="00094D2A"/>
    <w:rsid w:val="000959C8"/>
    <w:rsid w:val="000A35EE"/>
    <w:rsid w:val="000B2A8C"/>
    <w:rsid w:val="000B6616"/>
    <w:rsid w:val="000C4DD6"/>
    <w:rsid w:val="000D18F5"/>
    <w:rsid w:val="000E4FA1"/>
    <w:rsid w:val="001111F0"/>
    <w:rsid w:val="00122293"/>
    <w:rsid w:val="00123B97"/>
    <w:rsid w:val="00126B69"/>
    <w:rsid w:val="00133856"/>
    <w:rsid w:val="00136710"/>
    <w:rsid w:val="00151463"/>
    <w:rsid w:val="00151617"/>
    <w:rsid w:val="001522B8"/>
    <w:rsid w:val="00157419"/>
    <w:rsid w:val="001660B5"/>
    <w:rsid w:val="00172C72"/>
    <w:rsid w:val="00183F98"/>
    <w:rsid w:val="001938F8"/>
    <w:rsid w:val="001A26AF"/>
    <w:rsid w:val="001A2E7B"/>
    <w:rsid w:val="001B24DE"/>
    <w:rsid w:val="001B3265"/>
    <w:rsid w:val="001B34BD"/>
    <w:rsid w:val="001B542A"/>
    <w:rsid w:val="001B7421"/>
    <w:rsid w:val="001B7FF2"/>
    <w:rsid w:val="001C54AD"/>
    <w:rsid w:val="001C643D"/>
    <w:rsid w:val="001D1978"/>
    <w:rsid w:val="001E020E"/>
    <w:rsid w:val="001E2B2C"/>
    <w:rsid w:val="001E4467"/>
    <w:rsid w:val="001F2568"/>
    <w:rsid w:val="001F2E3D"/>
    <w:rsid w:val="00205DFD"/>
    <w:rsid w:val="00206653"/>
    <w:rsid w:val="0020693B"/>
    <w:rsid w:val="0021116B"/>
    <w:rsid w:val="002261C3"/>
    <w:rsid w:val="002264DC"/>
    <w:rsid w:val="002276EF"/>
    <w:rsid w:val="00230BEE"/>
    <w:rsid w:val="00234930"/>
    <w:rsid w:val="00236A03"/>
    <w:rsid w:val="00241FF6"/>
    <w:rsid w:val="002423F9"/>
    <w:rsid w:val="00245A48"/>
    <w:rsid w:val="00246D2F"/>
    <w:rsid w:val="0025172E"/>
    <w:rsid w:val="00255593"/>
    <w:rsid w:val="0025702A"/>
    <w:rsid w:val="00266019"/>
    <w:rsid w:val="00270F73"/>
    <w:rsid w:val="00275828"/>
    <w:rsid w:val="00276A09"/>
    <w:rsid w:val="00291422"/>
    <w:rsid w:val="0029276A"/>
    <w:rsid w:val="00292D33"/>
    <w:rsid w:val="00294F6D"/>
    <w:rsid w:val="0029627A"/>
    <w:rsid w:val="002A6188"/>
    <w:rsid w:val="002B17F7"/>
    <w:rsid w:val="002C1AFC"/>
    <w:rsid w:val="002C6A73"/>
    <w:rsid w:val="002D4B9F"/>
    <w:rsid w:val="002E3DF9"/>
    <w:rsid w:val="002E66D1"/>
    <w:rsid w:val="002F382F"/>
    <w:rsid w:val="00300E91"/>
    <w:rsid w:val="00307371"/>
    <w:rsid w:val="00326F33"/>
    <w:rsid w:val="0033120E"/>
    <w:rsid w:val="00334125"/>
    <w:rsid w:val="00335559"/>
    <w:rsid w:val="00345FE8"/>
    <w:rsid w:val="00356A60"/>
    <w:rsid w:val="003574DC"/>
    <w:rsid w:val="00364DD0"/>
    <w:rsid w:val="0037142B"/>
    <w:rsid w:val="00374738"/>
    <w:rsid w:val="00390259"/>
    <w:rsid w:val="00393D8C"/>
    <w:rsid w:val="003A1B8C"/>
    <w:rsid w:val="003A4689"/>
    <w:rsid w:val="003A5C9D"/>
    <w:rsid w:val="003B328D"/>
    <w:rsid w:val="003B37B2"/>
    <w:rsid w:val="003B3810"/>
    <w:rsid w:val="003B70E9"/>
    <w:rsid w:val="003C11A3"/>
    <w:rsid w:val="003C7BC0"/>
    <w:rsid w:val="003C7D86"/>
    <w:rsid w:val="003D44CB"/>
    <w:rsid w:val="003D4524"/>
    <w:rsid w:val="003D614D"/>
    <w:rsid w:val="003E41C8"/>
    <w:rsid w:val="003F1B57"/>
    <w:rsid w:val="00402194"/>
    <w:rsid w:val="00405CDF"/>
    <w:rsid w:val="004134A7"/>
    <w:rsid w:val="00414C43"/>
    <w:rsid w:val="004169CA"/>
    <w:rsid w:val="00425F98"/>
    <w:rsid w:val="00427102"/>
    <w:rsid w:val="0043399A"/>
    <w:rsid w:val="004353BF"/>
    <w:rsid w:val="004414EC"/>
    <w:rsid w:val="00445676"/>
    <w:rsid w:val="004465D3"/>
    <w:rsid w:val="004478C4"/>
    <w:rsid w:val="00451E75"/>
    <w:rsid w:val="00452CBD"/>
    <w:rsid w:val="004578D0"/>
    <w:rsid w:val="00463E3E"/>
    <w:rsid w:val="00465917"/>
    <w:rsid w:val="00476A8B"/>
    <w:rsid w:val="00481E6D"/>
    <w:rsid w:val="0049223D"/>
    <w:rsid w:val="0049518E"/>
    <w:rsid w:val="0049592C"/>
    <w:rsid w:val="00495F60"/>
    <w:rsid w:val="004A3327"/>
    <w:rsid w:val="004C606D"/>
    <w:rsid w:val="004D0E74"/>
    <w:rsid w:val="004D5023"/>
    <w:rsid w:val="004E018C"/>
    <w:rsid w:val="004E01CE"/>
    <w:rsid w:val="004E2B11"/>
    <w:rsid w:val="004E3771"/>
    <w:rsid w:val="004F0FF3"/>
    <w:rsid w:val="004F2A80"/>
    <w:rsid w:val="004F3BE8"/>
    <w:rsid w:val="004F5995"/>
    <w:rsid w:val="004F5DB7"/>
    <w:rsid w:val="00500A66"/>
    <w:rsid w:val="0050161F"/>
    <w:rsid w:val="005070E8"/>
    <w:rsid w:val="005113EB"/>
    <w:rsid w:val="00511D72"/>
    <w:rsid w:val="0051260B"/>
    <w:rsid w:val="0052146E"/>
    <w:rsid w:val="00523D72"/>
    <w:rsid w:val="005266C7"/>
    <w:rsid w:val="00527ED5"/>
    <w:rsid w:val="00530D20"/>
    <w:rsid w:val="00534E2C"/>
    <w:rsid w:val="00540896"/>
    <w:rsid w:val="00544B99"/>
    <w:rsid w:val="00550BD3"/>
    <w:rsid w:val="0055335D"/>
    <w:rsid w:val="00553434"/>
    <w:rsid w:val="0055380D"/>
    <w:rsid w:val="00553FA6"/>
    <w:rsid w:val="0056584B"/>
    <w:rsid w:val="00572C13"/>
    <w:rsid w:val="00575F75"/>
    <w:rsid w:val="00576C7D"/>
    <w:rsid w:val="00581494"/>
    <w:rsid w:val="005821AA"/>
    <w:rsid w:val="00590464"/>
    <w:rsid w:val="00595827"/>
    <w:rsid w:val="005B1420"/>
    <w:rsid w:val="005B5954"/>
    <w:rsid w:val="005B65F1"/>
    <w:rsid w:val="005C26C7"/>
    <w:rsid w:val="005D720D"/>
    <w:rsid w:val="005E37F4"/>
    <w:rsid w:val="005E6ED1"/>
    <w:rsid w:val="005F1BA6"/>
    <w:rsid w:val="00603659"/>
    <w:rsid w:val="00605DDD"/>
    <w:rsid w:val="00610DBD"/>
    <w:rsid w:val="00611E08"/>
    <w:rsid w:val="00612EAF"/>
    <w:rsid w:val="00617757"/>
    <w:rsid w:val="00617DE5"/>
    <w:rsid w:val="00621250"/>
    <w:rsid w:val="00622799"/>
    <w:rsid w:val="0062485C"/>
    <w:rsid w:val="006265AB"/>
    <w:rsid w:val="00631350"/>
    <w:rsid w:val="00636C67"/>
    <w:rsid w:val="00640A5B"/>
    <w:rsid w:val="00640E92"/>
    <w:rsid w:val="006520AA"/>
    <w:rsid w:val="006747B2"/>
    <w:rsid w:val="00674FDF"/>
    <w:rsid w:val="00680721"/>
    <w:rsid w:val="00680A18"/>
    <w:rsid w:val="0068601B"/>
    <w:rsid w:val="0068628E"/>
    <w:rsid w:val="0069618F"/>
    <w:rsid w:val="006C3CB1"/>
    <w:rsid w:val="006C6D68"/>
    <w:rsid w:val="006E03EB"/>
    <w:rsid w:val="006E1C4A"/>
    <w:rsid w:val="006E1DD2"/>
    <w:rsid w:val="006F657C"/>
    <w:rsid w:val="0071205C"/>
    <w:rsid w:val="00713ABB"/>
    <w:rsid w:val="00714400"/>
    <w:rsid w:val="007156B8"/>
    <w:rsid w:val="00717CE8"/>
    <w:rsid w:val="00722F12"/>
    <w:rsid w:val="00724AFC"/>
    <w:rsid w:val="00731247"/>
    <w:rsid w:val="007423C6"/>
    <w:rsid w:val="0074321C"/>
    <w:rsid w:val="0074367F"/>
    <w:rsid w:val="007470ED"/>
    <w:rsid w:val="00753C1C"/>
    <w:rsid w:val="00757E56"/>
    <w:rsid w:val="00766B45"/>
    <w:rsid w:val="00766D19"/>
    <w:rsid w:val="0077466F"/>
    <w:rsid w:val="00792A65"/>
    <w:rsid w:val="007939CD"/>
    <w:rsid w:val="007A05F0"/>
    <w:rsid w:val="007B0034"/>
    <w:rsid w:val="007C2720"/>
    <w:rsid w:val="007C33A0"/>
    <w:rsid w:val="007C7B08"/>
    <w:rsid w:val="007D40EF"/>
    <w:rsid w:val="007F1F83"/>
    <w:rsid w:val="007F4CA0"/>
    <w:rsid w:val="0080575D"/>
    <w:rsid w:val="00805D04"/>
    <w:rsid w:val="00811C20"/>
    <w:rsid w:val="00824193"/>
    <w:rsid w:val="00826391"/>
    <w:rsid w:val="00831A31"/>
    <w:rsid w:val="008408B0"/>
    <w:rsid w:val="008412AB"/>
    <w:rsid w:val="00851AA5"/>
    <w:rsid w:val="00851F68"/>
    <w:rsid w:val="00853514"/>
    <w:rsid w:val="00856DE6"/>
    <w:rsid w:val="008571E5"/>
    <w:rsid w:val="00862A06"/>
    <w:rsid w:val="00863FF3"/>
    <w:rsid w:val="00875A8D"/>
    <w:rsid w:val="008764E9"/>
    <w:rsid w:val="00881AC5"/>
    <w:rsid w:val="008900F7"/>
    <w:rsid w:val="00893B62"/>
    <w:rsid w:val="0089422B"/>
    <w:rsid w:val="008A0814"/>
    <w:rsid w:val="008B07BB"/>
    <w:rsid w:val="008B5961"/>
    <w:rsid w:val="008B6A41"/>
    <w:rsid w:val="008C3AAE"/>
    <w:rsid w:val="008D2BD3"/>
    <w:rsid w:val="008D381E"/>
    <w:rsid w:val="008D5863"/>
    <w:rsid w:val="008D681E"/>
    <w:rsid w:val="008E0618"/>
    <w:rsid w:val="008E08F2"/>
    <w:rsid w:val="008F29C3"/>
    <w:rsid w:val="00900327"/>
    <w:rsid w:val="00911777"/>
    <w:rsid w:val="00912541"/>
    <w:rsid w:val="00916638"/>
    <w:rsid w:val="00920A91"/>
    <w:rsid w:val="009211B8"/>
    <w:rsid w:val="0092149F"/>
    <w:rsid w:val="00933A43"/>
    <w:rsid w:val="009354DB"/>
    <w:rsid w:val="00943339"/>
    <w:rsid w:val="00945257"/>
    <w:rsid w:val="0095090C"/>
    <w:rsid w:val="0095226C"/>
    <w:rsid w:val="00952AAC"/>
    <w:rsid w:val="00962A41"/>
    <w:rsid w:val="00962F6A"/>
    <w:rsid w:val="009654ED"/>
    <w:rsid w:val="00966FC7"/>
    <w:rsid w:val="00970D63"/>
    <w:rsid w:val="00971E9C"/>
    <w:rsid w:val="00984228"/>
    <w:rsid w:val="00985AA3"/>
    <w:rsid w:val="009A4623"/>
    <w:rsid w:val="009B0639"/>
    <w:rsid w:val="009B1DD2"/>
    <w:rsid w:val="009B3470"/>
    <w:rsid w:val="009B67B7"/>
    <w:rsid w:val="009C366A"/>
    <w:rsid w:val="009C4F2E"/>
    <w:rsid w:val="009D0C65"/>
    <w:rsid w:val="009E09DD"/>
    <w:rsid w:val="009E4DAA"/>
    <w:rsid w:val="009F6FF8"/>
    <w:rsid w:val="009F747B"/>
    <w:rsid w:val="00A00FDA"/>
    <w:rsid w:val="00A0478E"/>
    <w:rsid w:val="00A05F11"/>
    <w:rsid w:val="00A060E1"/>
    <w:rsid w:val="00A10B5C"/>
    <w:rsid w:val="00A10F01"/>
    <w:rsid w:val="00A15A19"/>
    <w:rsid w:val="00A23089"/>
    <w:rsid w:val="00A274D3"/>
    <w:rsid w:val="00A37276"/>
    <w:rsid w:val="00A37DB8"/>
    <w:rsid w:val="00A406C6"/>
    <w:rsid w:val="00A43408"/>
    <w:rsid w:val="00A43B4C"/>
    <w:rsid w:val="00A44D47"/>
    <w:rsid w:val="00A44E96"/>
    <w:rsid w:val="00A45C53"/>
    <w:rsid w:val="00A5599D"/>
    <w:rsid w:val="00A60A3A"/>
    <w:rsid w:val="00A674CB"/>
    <w:rsid w:val="00A7461F"/>
    <w:rsid w:val="00A772AE"/>
    <w:rsid w:val="00A8245A"/>
    <w:rsid w:val="00A84B43"/>
    <w:rsid w:val="00A869BF"/>
    <w:rsid w:val="00A906B2"/>
    <w:rsid w:val="00A9380B"/>
    <w:rsid w:val="00A9530D"/>
    <w:rsid w:val="00A97002"/>
    <w:rsid w:val="00AA1AF7"/>
    <w:rsid w:val="00AA55E0"/>
    <w:rsid w:val="00AB5143"/>
    <w:rsid w:val="00AB6786"/>
    <w:rsid w:val="00AC40B9"/>
    <w:rsid w:val="00AC7187"/>
    <w:rsid w:val="00AD7B74"/>
    <w:rsid w:val="00AD7DC1"/>
    <w:rsid w:val="00AE2DD4"/>
    <w:rsid w:val="00AE3D2A"/>
    <w:rsid w:val="00AE69DE"/>
    <w:rsid w:val="00AE738E"/>
    <w:rsid w:val="00AE73F8"/>
    <w:rsid w:val="00AE75CB"/>
    <w:rsid w:val="00AF79A5"/>
    <w:rsid w:val="00AF7C17"/>
    <w:rsid w:val="00B001BC"/>
    <w:rsid w:val="00B0385A"/>
    <w:rsid w:val="00B0690F"/>
    <w:rsid w:val="00B10130"/>
    <w:rsid w:val="00B16A2C"/>
    <w:rsid w:val="00B16C5F"/>
    <w:rsid w:val="00B2064B"/>
    <w:rsid w:val="00B228FE"/>
    <w:rsid w:val="00B332E1"/>
    <w:rsid w:val="00B351D3"/>
    <w:rsid w:val="00B419AE"/>
    <w:rsid w:val="00B50465"/>
    <w:rsid w:val="00B53F98"/>
    <w:rsid w:val="00B623C9"/>
    <w:rsid w:val="00B65327"/>
    <w:rsid w:val="00B75A1A"/>
    <w:rsid w:val="00B855FE"/>
    <w:rsid w:val="00B87A70"/>
    <w:rsid w:val="00B87D11"/>
    <w:rsid w:val="00B94452"/>
    <w:rsid w:val="00B9730A"/>
    <w:rsid w:val="00B97854"/>
    <w:rsid w:val="00BC24E2"/>
    <w:rsid w:val="00BC4ABD"/>
    <w:rsid w:val="00BC7CA2"/>
    <w:rsid w:val="00BD05BF"/>
    <w:rsid w:val="00BD10B2"/>
    <w:rsid w:val="00BD2C78"/>
    <w:rsid w:val="00BD3C7E"/>
    <w:rsid w:val="00C03F1F"/>
    <w:rsid w:val="00C05C45"/>
    <w:rsid w:val="00C07FA1"/>
    <w:rsid w:val="00C33238"/>
    <w:rsid w:val="00C40907"/>
    <w:rsid w:val="00C5086A"/>
    <w:rsid w:val="00C50E53"/>
    <w:rsid w:val="00C537FB"/>
    <w:rsid w:val="00C56759"/>
    <w:rsid w:val="00C61DD4"/>
    <w:rsid w:val="00C67D95"/>
    <w:rsid w:val="00C726DE"/>
    <w:rsid w:val="00C80CAE"/>
    <w:rsid w:val="00C83149"/>
    <w:rsid w:val="00C862FA"/>
    <w:rsid w:val="00CA2030"/>
    <w:rsid w:val="00CA205E"/>
    <w:rsid w:val="00CB136E"/>
    <w:rsid w:val="00CB146A"/>
    <w:rsid w:val="00CB19DD"/>
    <w:rsid w:val="00CC2088"/>
    <w:rsid w:val="00CC7322"/>
    <w:rsid w:val="00CC793F"/>
    <w:rsid w:val="00CD455D"/>
    <w:rsid w:val="00CE010A"/>
    <w:rsid w:val="00CE0E06"/>
    <w:rsid w:val="00CE2342"/>
    <w:rsid w:val="00CE4F9F"/>
    <w:rsid w:val="00CF42A5"/>
    <w:rsid w:val="00D002B4"/>
    <w:rsid w:val="00D03B60"/>
    <w:rsid w:val="00D14D8E"/>
    <w:rsid w:val="00D3309C"/>
    <w:rsid w:val="00D33FB5"/>
    <w:rsid w:val="00D35B90"/>
    <w:rsid w:val="00D3668E"/>
    <w:rsid w:val="00D424D4"/>
    <w:rsid w:val="00D60A5E"/>
    <w:rsid w:val="00D67482"/>
    <w:rsid w:val="00D71F5E"/>
    <w:rsid w:val="00D82590"/>
    <w:rsid w:val="00D837A9"/>
    <w:rsid w:val="00D8450B"/>
    <w:rsid w:val="00D9185B"/>
    <w:rsid w:val="00D9327A"/>
    <w:rsid w:val="00D9661D"/>
    <w:rsid w:val="00D96FCB"/>
    <w:rsid w:val="00D978C4"/>
    <w:rsid w:val="00DA3C61"/>
    <w:rsid w:val="00DA5876"/>
    <w:rsid w:val="00DB1FBB"/>
    <w:rsid w:val="00DB3FA6"/>
    <w:rsid w:val="00DB5C75"/>
    <w:rsid w:val="00DB6F9D"/>
    <w:rsid w:val="00DB70BB"/>
    <w:rsid w:val="00DC1642"/>
    <w:rsid w:val="00DC2622"/>
    <w:rsid w:val="00DC3BF1"/>
    <w:rsid w:val="00DC5247"/>
    <w:rsid w:val="00DD02DA"/>
    <w:rsid w:val="00DD57ED"/>
    <w:rsid w:val="00DD6927"/>
    <w:rsid w:val="00DE1C86"/>
    <w:rsid w:val="00DE34C3"/>
    <w:rsid w:val="00E02D98"/>
    <w:rsid w:val="00E04828"/>
    <w:rsid w:val="00E0678A"/>
    <w:rsid w:val="00E114E4"/>
    <w:rsid w:val="00E125F9"/>
    <w:rsid w:val="00E1491A"/>
    <w:rsid w:val="00E14FC6"/>
    <w:rsid w:val="00E238E3"/>
    <w:rsid w:val="00E31F04"/>
    <w:rsid w:val="00E3259F"/>
    <w:rsid w:val="00E346FF"/>
    <w:rsid w:val="00E40FBD"/>
    <w:rsid w:val="00E452A8"/>
    <w:rsid w:val="00E56792"/>
    <w:rsid w:val="00E611F5"/>
    <w:rsid w:val="00E65059"/>
    <w:rsid w:val="00E73781"/>
    <w:rsid w:val="00E835F3"/>
    <w:rsid w:val="00E871C9"/>
    <w:rsid w:val="00E876AE"/>
    <w:rsid w:val="00E91D5D"/>
    <w:rsid w:val="00E955BE"/>
    <w:rsid w:val="00E95737"/>
    <w:rsid w:val="00EA0241"/>
    <w:rsid w:val="00EB20C8"/>
    <w:rsid w:val="00EC01D1"/>
    <w:rsid w:val="00EC605B"/>
    <w:rsid w:val="00EE2495"/>
    <w:rsid w:val="00EE2D1E"/>
    <w:rsid w:val="00F033C5"/>
    <w:rsid w:val="00F03951"/>
    <w:rsid w:val="00F14ADE"/>
    <w:rsid w:val="00F20F4A"/>
    <w:rsid w:val="00F22413"/>
    <w:rsid w:val="00F22FFB"/>
    <w:rsid w:val="00F232EF"/>
    <w:rsid w:val="00F234F3"/>
    <w:rsid w:val="00F248A8"/>
    <w:rsid w:val="00F3502D"/>
    <w:rsid w:val="00F4240D"/>
    <w:rsid w:val="00F51765"/>
    <w:rsid w:val="00F537C6"/>
    <w:rsid w:val="00F54F90"/>
    <w:rsid w:val="00F6525E"/>
    <w:rsid w:val="00F70A25"/>
    <w:rsid w:val="00F70E67"/>
    <w:rsid w:val="00F71649"/>
    <w:rsid w:val="00F74603"/>
    <w:rsid w:val="00F74DC7"/>
    <w:rsid w:val="00F77436"/>
    <w:rsid w:val="00F97F1E"/>
    <w:rsid w:val="00FA05DE"/>
    <w:rsid w:val="00FA7302"/>
    <w:rsid w:val="00FB40B3"/>
    <w:rsid w:val="00FB7BFC"/>
    <w:rsid w:val="00FC3152"/>
    <w:rsid w:val="00FC593F"/>
    <w:rsid w:val="00FD1B99"/>
    <w:rsid w:val="00FD2617"/>
    <w:rsid w:val="00FD69B9"/>
    <w:rsid w:val="00FE10C5"/>
    <w:rsid w:val="00FE3B15"/>
    <w:rsid w:val="00FE470F"/>
    <w:rsid w:val="00FE53BB"/>
    <w:rsid w:val="00FF1280"/>
    <w:rsid w:val="00FF131E"/>
    <w:rsid w:val="00FF765A"/>
    <w:rsid w:val="07121BE4"/>
    <w:rsid w:val="075721EE"/>
    <w:rsid w:val="09D03E19"/>
    <w:rsid w:val="0EFA3015"/>
    <w:rsid w:val="11D83397"/>
    <w:rsid w:val="146C155F"/>
    <w:rsid w:val="16272152"/>
    <w:rsid w:val="16F364DA"/>
    <w:rsid w:val="182E4C4B"/>
    <w:rsid w:val="1EE9109B"/>
    <w:rsid w:val="2118039B"/>
    <w:rsid w:val="212460B1"/>
    <w:rsid w:val="268C0AC1"/>
    <w:rsid w:val="271C0394"/>
    <w:rsid w:val="2B17479D"/>
    <w:rsid w:val="2C8E78CE"/>
    <w:rsid w:val="2D7650F3"/>
    <w:rsid w:val="321C5F66"/>
    <w:rsid w:val="32673481"/>
    <w:rsid w:val="365E2288"/>
    <w:rsid w:val="374B738C"/>
    <w:rsid w:val="39E35FC0"/>
    <w:rsid w:val="3BCA11A1"/>
    <w:rsid w:val="3D41608D"/>
    <w:rsid w:val="3D8913AE"/>
    <w:rsid w:val="3E0A34D9"/>
    <w:rsid w:val="42544D42"/>
    <w:rsid w:val="460A6713"/>
    <w:rsid w:val="4780592C"/>
    <w:rsid w:val="49643DB8"/>
    <w:rsid w:val="4A172245"/>
    <w:rsid w:val="4B0210B3"/>
    <w:rsid w:val="4C7163B7"/>
    <w:rsid w:val="4F6F1858"/>
    <w:rsid w:val="5181534B"/>
    <w:rsid w:val="54576D2A"/>
    <w:rsid w:val="5B837EBA"/>
    <w:rsid w:val="5C772751"/>
    <w:rsid w:val="5E4648B9"/>
    <w:rsid w:val="602662C3"/>
    <w:rsid w:val="615B7AD2"/>
    <w:rsid w:val="623B1ECC"/>
    <w:rsid w:val="62C17449"/>
    <w:rsid w:val="649876A0"/>
    <w:rsid w:val="674F689A"/>
    <w:rsid w:val="69151E11"/>
    <w:rsid w:val="6A010977"/>
    <w:rsid w:val="6A6D70AD"/>
    <w:rsid w:val="6D6F281A"/>
    <w:rsid w:val="745B65D5"/>
    <w:rsid w:val="78500A17"/>
    <w:rsid w:val="79401EDF"/>
    <w:rsid w:val="7B026586"/>
    <w:rsid w:val="7B5B6158"/>
    <w:rsid w:val="7CB5471E"/>
    <w:rsid w:val="7E24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63135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31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3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3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313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313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31350"/>
    <w:rPr>
      <w:kern w:val="2"/>
      <w:sz w:val="18"/>
      <w:szCs w:val="18"/>
    </w:rPr>
  </w:style>
  <w:style w:type="character" w:customStyle="1" w:styleId="1Char">
    <w:name w:val="标题 1 Char"/>
    <w:basedOn w:val="a0"/>
    <w:uiPriority w:val="9"/>
    <w:qFormat/>
    <w:rsid w:val="00631350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qFormat/>
    <w:rsid w:val="0063135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C62466-A213-4562-B6E7-7512CA003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418</Words>
  <Characters>2386</Characters>
  <Application>Microsoft Office Word</Application>
  <DocSecurity>0</DocSecurity>
  <Lines>19</Lines>
  <Paragraphs>5</Paragraphs>
  <ScaleCrop>false</ScaleCrop>
  <Company>china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xtzj</cp:lastModifiedBy>
  <cp:revision>20</cp:revision>
  <cp:lastPrinted>2021-11-23T07:32:00Z</cp:lastPrinted>
  <dcterms:created xsi:type="dcterms:W3CDTF">2019-03-18T05:48:00Z</dcterms:created>
  <dcterms:modified xsi:type="dcterms:W3CDTF">2021-12-21T08:15:00Z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